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24" w:rsidRDefault="00C50B0E">
      <w:pPr>
        <w:pStyle w:val="1"/>
        <w:shd w:val="clear" w:color="auto" w:fill="auto"/>
        <w:spacing w:after="302"/>
        <w:ind w:left="6000" w:right="460"/>
      </w:pPr>
      <w:r>
        <w:t>Президенту Нотариальной палаты Пермского края</w:t>
      </w:r>
    </w:p>
    <w:p w:rsidR="00F85024" w:rsidRDefault="00C50B0E">
      <w:pPr>
        <w:pStyle w:val="1"/>
        <w:shd w:val="clear" w:color="auto" w:fill="auto"/>
        <w:spacing w:after="1272" w:line="230" w:lineRule="exact"/>
        <w:ind w:left="6000"/>
      </w:pPr>
      <w:r>
        <w:t>Н.Н. Пьянковой</w:t>
      </w:r>
    </w:p>
    <w:p w:rsidR="00F85024" w:rsidRDefault="00C50B0E">
      <w:pPr>
        <w:pStyle w:val="1"/>
        <w:shd w:val="clear" w:color="auto" w:fill="auto"/>
        <w:spacing w:after="255" w:line="230" w:lineRule="exact"/>
        <w:jc w:val="center"/>
      </w:pPr>
      <w:r>
        <w:t>Уважаемая Надежда Николаевна!</w:t>
      </w:r>
    </w:p>
    <w:p w:rsidR="00F85024" w:rsidRDefault="00C50B0E">
      <w:pPr>
        <w:pStyle w:val="1"/>
        <w:shd w:val="clear" w:color="auto" w:fill="auto"/>
        <w:spacing w:after="232"/>
        <w:ind w:left="40" w:right="40" w:firstLine="680"/>
        <w:jc w:val="both"/>
      </w:pPr>
      <w:r>
        <w:t>Федеральная нотариальная палата рассмотрела Ваше обращение, содержащее ряд вопросов по применению Федерального закона от 8 августа 2001 года № 129-ФЗ «О государственной регистрации юридических лиц и индивидуальных предпринимателей» (далее - Федеральный закон), и сообщает свою точку зрения по следующим вопросам, возникающим в процессе применения Федерального закона.</w:t>
      </w:r>
    </w:p>
    <w:p w:rsidR="00F85024" w:rsidRDefault="00C50B0E">
      <w:pPr>
        <w:pStyle w:val="20"/>
        <w:shd w:val="clear" w:color="auto" w:fill="auto"/>
        <w:spacing w:before="0"/>
        <w:ind w:left="40" w:right="40" w:firstLine="680"/>
      </w:pPr>
      <w:r>
        <w:t>О возможности свидетельствов</w:t>
      </w:r>
      <w:r w:rsidR="008D5D8C">
        <w:t>ани</w:t>
      </w:r>
      <w:r>
        <w:t>я подлинности подписи рукоприкладчика на заявлении о государственной регистрации юридического лица</w:t>
      </w:r>
    </w:p>
    <w:p w:rsidR="00F85024" w:rsidRDefault="00C50B0E">
      <w:pPr>
        <w:pStyle w:val="1"/>
        <w:shd w:val="clear" w:color="auto" w:fill="auto"/>
        <w:spacing w:after="0"/>
        <w:ind w:left="40" w:right="40" w:firstLine="680"/>
        <w:jc w:val="both"/>
      </w:pPr>
      <w:r>
        <w:t>Федеральная нотариальная палата полностью разделяет позицию по рассматриваемому вопросу, высказанную Вами в обращении. В обоснование представляется возможным добавить следующее.</w:t>
      </w:r>
    </w:p>
    <w:p w:rsidR="00F85024" w:rsidRDefault="00C50B0E">
      <w:pPr>
        <w:pStyle w:val="1"/>
        <w:shd w:val="clear" w:color="auto" w:fill="auto"/>
        <w:spacing w:after="0"/>
        <w:ind w:left="40" w:right="40" w:firstLine="680"/>
        <w:jc w:val="both"/>
      </w:pPr>
      <w:r>
        <w:t>Согласно Федеральному закону</w:t>
      </w:r>
      <w:bookmarkStart w:id="0" w:name="_GoBack"/>
      <w:bookmarkEnd w:id="0"/>
      <w:r>
        <w:t xml:space="preserve"> (статьи 9, 18) в регистрирующий орган документы на государственную регистрацию юридического лица, в том числе при регистрации внесения изменений в сведения о юридическом лице, содержащемся в Едином государственном реестре юридических лиц, представляет уполномоченное лицо - далее заявитель.</w:t>
      </w:r>
    </w:p>
    <w:p w:rsidR="00F85024" w:rsidRDefault="00C50B0E">
      <w:pPr>
        <w:pStyle w:val="1"/>
        <w:shd w:val="clear" w:color="auto" w:fill="auto"/>
        <w:spacing w:after="0"/>
        <w:ind w:left="40" w:right="40" w:firstLine="680"/>
        <w:jc w:val="both"/>
      </w:pPr>
      <w:r>
        <w:t>В соответствии с требованиями Федерального закона (пункт 1 статьи 9) подлинность подписи заявителя на заявлении о регистрации юридического лица подлежит засвидетельствованию в нотариальном порядке.</w:t>
      </w:r>
    </w:p>
    <w:p w:rsidR="00F85024" w:rsidRDefault="00C50B0E">
      <w:pPr>
        <w:pStyle w:val="1"/>
        <w:shd w:val="clear" w:color="auto" w:fill="auto"/>
        <w:spacing w:after="0"/>
        <w:ind w:left="40" w:right="40" w:firstLine="680"/>
        <w:jc w:val="both"/>
      </w:pPr>
      <w:r>
        <w:t>Необходимо также отметить, что из утвержденных приказом Федеральной налоговой службы России от 25 января 2012 года № ММВ-7- 6/25@ форм заявлений о государственной регистрации юридических лиц и сообщения сведений о юридическом лице (приложение №№ 1 - 6) следует, что наряду с другими сведениями в формах указываются также сведения о заявителе.</w:t>
      </w:r>
    </w:p>
    <w:p w:rsidR="00F85024" w:rsidRDefault="00C50B0E">
      <w:pPr>
        <w:pStyle w:val="1"/>
        <w:shd w:val="clear" w:color="auto" w:fill="auto"/>
        <w:spacing w:after="0"/>
        <w:ind w:left="40" w:right="40" w:firstLine="680"/>
        <w:jc w:val="both"/>
      </w:pPr>
      <w:r>
        <w:t>На основании вышеизложенного можно сделать вывод, что в рассматриваемом случае речь идет о праве заявителя подавать в регистрирующий орган необходимые документы при регистрации юридического лица.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r>
        <w:t>В утвержденных формах заявлений о государственной регистрации юридических лиц и сообщения сведений о юридическом лице имеется указание на то, что подпись заявителя должна быть засвидетельствована в нотариальном порядке.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r>
        <w:t>При этом ни в Федеральном законе, ни в формах не говорится о том, что подпись может быть выполнена рукоприкладчиком.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proofErr w:type="gramStart"/>
      <w:r>
        <w:lastRenderedPageBreak/>
        <w:t>Между тем о возможности привлечения рукоприкладчика к подписанию заявления свидетельствует статья 44 Основ законодательства Российской Федерации о нотариате (далее - Основы), согласно которой если гражданин вследствие физических недостатков, болезни или по каким-либо иным причинам не может расписаться, по его поручению, в его присутствии и в присутствии нотариуса сделку, заявление или иной документ может подписать другой гражданин с указанием причин, в силу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документ не мог быть подписан собственноручно гражданином, обратившимся за совершением нотариального действия. Таким образом, рукоприкладчик оказывает техническое содействие оформлению того или иного документа.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r>
        <w:t>В рассматриваемом случае рукоприкладчик не заменяет заявителя, его привлечение в первую очередь служит интересам заявителя, как хозяйствующего субъекта в сфере предпринимательской деятельности.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r>
        <w:t>Полагаем, что положения статьи 9 (подпункт 1.2.) Федерального закона, предусматривающие нотариальное оформление подписи заявителя на заявлении о регистрации юридического лица, необходимо рассматривать в системной связи с положениями статьи 44 Основ.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proofErr w:type="gramStart"/>
      <w:r>
        <w:t>Одновременно представляется необходимым отметить, что в силу части третьей статьи 55 Конституции Российской Федерации и пункта 2 статьи 1 Гражданского кодекса Российской Федерации ограничение гражданских прав допустимо лишь на основании федерального закона и только в той мере, в какой это необходимо в целях защиты основ конституционного строя, нравственности здоровья, прав и законных интересов других лиц, обеспечения обороны страны и безопасности</w:t>
      </w:r>
      <w:proofErr w:type="gramEnd"/>
      <w:r>
        <w:t xml:space="preserve"> государства.</w:t>
      </w:r>
    </w:p>
    <w:p w:rsidR="00F85024" w:rsidRDefault="00C50B0E">
      <w:pPr>
        <w:pStyle w:val="1"/>
        <w:shd w:val="clear" w:color="auto" w:fill="auto"/>
        <w:ind w:left="40" w:right="40" w:firstLine="660"/>
        <w:jc w:val="both"/>
      </w:pPr>
      <w:r>
        <w:t>Принимая во внимание вышеизложенное, Федеральная нотариальная палата полагает, что во избежание необоснованных ограничений прав заявителя по осуществлению действий, связанных с предоставлением в регистрирующий орган документов на государственную регистрацию юридического лица, подпись на соответствующем заявлении может быть проставлена рукоприкладчиком.</w:t>
      </w:r>
    </w:p>
    <w:p w:rsidR="00F85024" w:rsidRDefault="00C50B0E">
      <w:pPr>
        <w:pStyle w:val="20"/>
        <w:shd w:val="clear" w:color="auto" w:fill="auto"/>
        <w:spacing w:before="0" w:line="307" w:lineRule="exact"/>
        <w:ind w:left="40" w:right="40"/>
        <w:jc w:val="both"/>
      </w:pPr>
      <w:r>
        <w:t>О возможности представления в регистрирующий орган заявления о смене единоличного исполнительного органа представителем, действующим на основании нотариально удостоверенной доверенности, выданной от имени юридического лица в лице прежнего руководителя</w:t>
      </w:r>
    </w:p>
    <w:p w:rsidR="00F85024" w:rsidRDefault="00C50B0E">
      <w:pPr>
        <w:pStyle w:val="1"/>
        <w:shd w:val="clear" w:color="auto" w:fill="auto"/>
        <w:spacing w:after="0"/>
        <w:ind w:left="40" w:right="40" w:firstLine="660"/>
        <w:jc w:val="both"/>
      </w:pPr>
      <w:r>
        <w:t>Согласно статье 185.1 Гражданского кодекса Российской Федерации (далее - ГК РФ) доверенность от имени юридического лица выдается</w:t>
      </w:r>
      <w:r>
        <w:br w:type="page"/>
      </w:r>
      <w:r>
        <w:lastRenderedPageBreak/>
        <w:t>за подписью его руководителя или иного лица, уполномоченного на это в соответствии с законом и учредительными документами.</w:t>
      </w:r>
    </w:p>
    <w:p w:rsidR="00F85024" w:rsidRDefault="00C50B0E">
      <w:pPr>
        <w:pStyle w:val="1"/>
        <w:shd w:val="clear" w:color="auto" w:fill="auto"/>
        <w:spacing w:after="0"/>
        <w:ind w:left="20" w:right="20" w:firstLine="660"/>
        <w:jc w:val="both"/>
      </w:pPr>
      <w:r>
        <w:t>В статье 188 ГК РФ предусмотрены основания прекращения действия доверенности, в частности, одним из оснований прекращения доверенности является прекращение юридического лица, от имени которого выдана доверенность.</w:t>
      </w:r>
    </w:p>
    <w:p w:rsidR="00F85024" w:rsidRDefault="00C50B0E">
      <w:pPr>
        <w:pStyle w:val="1"/>
        <w:shd w:val="clear" w:color="auto" w:fill="auto"/>
        <w:spacing w:after="0"/>
        <w:ind w:left="20" w:right="20" w:firstLine="660"/>
        <w:jc w:val="both"/>
      </w:pPr>
      <w:r>
        <w:t>Юридическое лицо обладает правоспособностью с момента его создания, которая прекращается в момент внесения записи о его исключении из единого государственного реестра юридических лиц (пункт 3 статьи 49, пункт 8 статьи 51 ГК РФ).</w:t>
      </w:r>
    </w:p>
    <w:p w:rsidR="00F85024" w:rsidRDefault="00C50B0E">
      <w:pPr>
        <w:pStyle w:val="1"/>
        <w:shd w:val="clear" w:color="auto" w:fill="auto"/>
        <w:spacing w:after="0"/>
        <w:ind w:left="20" w:right="20" w:firstLine="660"/>
        <w:jc w:val="both"/>
      </w:pPr>
      <w:r>
        <w:t>Прекращение деятельности юридического лица может произойти в результате его реорганизации или ликвидации (статья 57, пункт 1 статьи 61 ГК РФ). Кроме того, юридическое лицо, фактически прекратившее свою деятельность, может быть также исключено из единого государственного реестра юридических лиц.</w:t>
      </w:r>
    </w:p>
    <w:p w:rsidR="00F85024" w:rsidRDefault="00C50B0E">
      <w:pPr>
        <w:pStyle w:val="1"/>
        <w:shd w:val="clear" w:color="auto" w:fill="auto"/>
        <w:spacing w:after="0"/>
        <w:ind w:left="20" w:right="20" w:firstLine="660"/>
        <w:jc w:val="both"/>
      </w:pPr>
      <w:r>
        <w:t>Таким образом, законодатель не связывает прекращение деятельности юридического лица с фактом прекращения единоличным исполнительным органом данного лица своих полномочий.</w:t>
      </w:r>
    </w:p>
    <w:p w:rsidR="00F85024" w:rsidRDefault="00C50B0E">
      <w:pPr>
        <w:pStyle w:val="1"/>
        <w:shd w:val="clear" w:color="auto" w:fill="auto"/>
        <w:spacing w:after="0"/>
        <w:ind w:left="20" w:right="20" w:firstLine="660"/>
        <w:jc w:val="both"/>
      </w:pPr>
      <w:r>
        <w:t>Вышеизложенное позволяет сделать вывод, что смена единоличного исполнительного органа не может повлиять на юридическую силу доверенности и на полномочия представителя, которые ему предоставлены.</w:t>
      </w:r>
    </w:p>
    <w:p w:rsidR="00F85024" w:rsidRDefault="00C50B0E">
      <w:pPr>
        <w:framePr w:w="1987" w:h="994" w:wrap="around" w:vAnchor="text" w:hAnchor="margin" w:x="5106" w:y="1460"/>
        <w:rPr>
          <w:sz w:val="2"/>
          <w:szCs w:val="2"/>
        </w:rPr>
      </w:pPr>
      <w:r>
        <w:fldChar w:fldCharType="begin"/>
      </w:r>
      <w:r>
        <w:instrText xml:space="preserve"> INCLUDEPICTURE  "C:\\Users\\enot\\AppData\\Local\\Temp\\FineReader11.00\\media\\image1.jpeg" \* MERGEFORMATINET </w:instrText>
      </w:r>
      <w:r>
        <w:fldChar w:fldCharType="separate"/>
      </w:r>
      <w:r w:rsidR="008D5D8C">
        <w:fldChar w:fldCharType="begin"/>
      </w:r>
      <w:r w:rsidR="008D5D8C">
        <w:instrText xml:space="preserve"> </w:instrText>
      </w:r>
      <w:r w:rsidR="008D5D8C">
        <w:instrText>INCLUDEPICTURE  "C:\\Users\\enot\\AppData\\Loca</w:instrText>
      </w:r>
      <w:r w:rsidR="008D5D8C">
        <w:instrText>l\\Temp\\FineReader11.00\\media\\image1.jpeg" \* MERGEFORMATINET</w:instrText>
      </w:r>
      <w:r w:rsidR="008D5D8C">
        <w:instrText xml:space="preserve"> </w:instrText>
      </w:r>
      <w:r w:rsidR="008D5D8C">
        <w:fldChar w:fldCharType="separate"/>
      </w:r>
      <w:r w:rsidR="008D5D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5pt;height:50.25pt">
            <v:imagedata r:id="rId7" r:href="rId8"/>
          </v:shape>
        </w:pict>
      </w:r>
      <w:r w:rsidR="008D5D8C">
        <w:fldChar w:fldCharType="end"/>
      </w:r>
      <w:r>
        <w:fldChar w:fldCharType="end"/>
      </w:r>
    </w:p>
    <w:p w:rsidR="00F85024" w:rsidRDefault="00C50B0E">
      <w:pPr>
        <w:pStyle w:val="a4"/>
        <w:framePr w:w="1373" w:h="240" w:wrap="around" w:vAnchor="text" w:hAnchor="margin" w:x="7463" w:y="1887"/>
        <w:shd w:val="clear" w:color="auto" w:fill="auto"/>
        <w:spacing w:line="220" w:lineRule="exact"/>
      </w:pPr>
      <w:r>
        <w:rPr>
          <w:spacing w:val="10"/>
        </w:rPr>
        <w:t>К.А. Корсик</w:t>
      </w:r>
    </w:p>
    <w:p w:rsidR="00F85024" w:rsidRDefault="00C50B0E">
      <w:pPr>
        <w:pStyle w:val="1"/>
        <w:shd w:val="clear" w:color="auto" w:fill="auto"/>
        <w:spacing w:after="662"/>
        <w:ind w:left="20" w:right="20" w:firstLine="660"/>
        <w:jc w:val="both"/>
      </w:pPr>
      <w:r>
        <w:t>Данный вывод нашел отражение в постановлении Седьмого арбитражного апелляционного суда от 09 августа 2010 года по делу № А45- 4078/2010 от 23 апреля 2010 года.</w:t>
      </w:r>
    </w:p>
    <w:p w:rsidR="00F85024" w:rsidRDefault="00C50B0E">
      <w:pPr>
        <w:pStyle w:val="1"/>
        <w:shd w:val="clear" w:color="auto" w:fill="auto"/>
        <w:spacing w:after="12" w:line="230" w:lineRule="exact"/>
        <w:ind w:left="20"/>
        <w:jc w:val="both"/>
      </w:pPr>
      <w:r>
        <w:t>Президент</w:t>
      </w:r>
    </w:p>
    <w:p w:rsidR="00F85024" w:rsidRDefault="00C50B0E">
      <w:pPr>
        <w:pStyle w:val="1"/>
        <w:shd w:val="clear" w:color="auto" w:fill="auto"/>
        <w:spacing w:after="0" w:line="230" w:lineRule="exact"/>
        <w:ind w:left="20"/>
        <w:jc w:val="both"/>
      </w:pPr>
      <w:r>
        <w:t>Федеральной нотариальной палаты</w:t>
      </w:r>
    </w:p>
    <w:sectPr w:rsidR="00F85024">
      <w:type w:val="continuous"/>
      <w:pgSz w:w="11909" w:h="16838"/>
      <w:pgMar w:top="1580" w:right="1342" w:bottom="1570" w:left="1342" w:header="0" w:footer="3" w:gutter="23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0E" w:rsidRDefault="00C50B0E">
      <w:r>
        <w:separator/>
      </w:r>
    </w:p>
  </w:endnote>
  <w:endnote w:type="continuationSeparator" w:id="0">
    <w:p w:rsidR="00C50B0E" w:rsidRDefault="00C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0E" w:rsidRDefault="00C50B0E"/>
  </w:footnote>
  <w:footnote w:type="continuationSeparator" w:id="0">
    <w:p w:rsidR="00C50B0E" w:rsidRDefault="00C50B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5024"/>
    <w:rsid w:val="008D5D8C"/>
    <w:rsid w:val="00C50B0E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firstLine="66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firstLine="66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not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Юрист</cp:lastModifiedBy>
  <cp:revision>2</cp:revision>
  <dcterms:created xsi:type="dcterms:W3CDTF">2015-01-26T05:37:00Z</dcterms:created>
  <dcterms:modified xsi:type="dcterms:W3CDTF">2015-01-26T05:57:00Z</dcterms:modified>
</cp:coreProperties>
</file>