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E4" w:rsidRDefault="00502B01">
      <w:pPr>
        <w:pStyle w:val="2"/>
        <w:shd w:val="clear" w:color="auto" w:fill="auto"/>
        <w:ind w:left="6080"/>
      </w:pPr>
      <w:bookmarkStart w:id="0" w:name="_GoBack"/>
      <w:bookmarkEnd w:id="0"/>
      <w:r>
        <w:t>Помощнику</w:t>
      </w:r>
    </w:p>
    <w:p w:rsidR="00BD61E4" w:rsidRDefault="00502B01">
      <w:pPr>
        <w:pStyle w:val="2"/>
        <w:shd w:val="clear" w:color="auto" w:fill="auto"/>
        <w:ind w:left="6080"/>
      </w:pPr>
      <w:r>
        <w:t>Генерального прокурора</w:t>
      </w:r>
    </w:p>
    <w:p w:rsidR="00BD61E4" w:rsidRDefault="00502B01">
      <w:pPr>
        <w:pStyle w:val="2"/>
        <w:shd w:val="clear" w:color="auto" w:fill="auto"/>
        <w:spacing w:after="358"/>
        <w:ind w:left="6080"/>
      </w:pPr>
      <w:r>
        <w:t>Российской Федерации</w:t>
      </w:r>
    </w:p>
    <w:p w:rsidR="00BD61E4" w:rsidRDefault="00502B01">
      <w:pPr>
        <w:pStyle w:val="2"/>
        <w:shd w:val="clear" w:color="auto" w:fill="auto"/>
        <w:spacing w:after="17" w:line="240" w:lineRule="exact"/>
        <w:ind w:left="6080"/>
      </w:pPr>
      <w:r>
        <w:t>О.Г. Шапиевой</w:t>
      </w:r>
    </w:p>
    <w:p w:rsidR="00BD61E4" w:rsidRDefault="00502B01">
      <w:pPr>
        <w:pStyle w:val="21"/>
        <w:shd w:val="clear" w:color="auto" w:fill="auto"/>
        <w:spacing w:before="0" w:after="24" w:line="180" w:lineRule="exact"/>
        <w:ind w:left="20"/>
      </w:pPr>
      <w:r>
        <w:t>Об отмене доверенности</w:t>
      </w:r>
    </w:p>
    <w:p w:rsidR="00BD61E4" w:rsidRDefault="00502B01">
      <w:pPr>
        <w:pStyle w:val="2"/>
        <w:shd w:val="clear" w:color="auto" w:fill="auto"/>
        <w:spacing w:after="319" w:line="240" w:lineRule="exact"/>
        <w:jc w:val="center"/>
      </w:pPr>
      <w:r>
        <w:t>Уважаемая Ольга Гасановна!</w:t>
      </w:r>
    </w:p>
    <w:p w:rsidR="00BD61E4" w:rsidRDefault="00502B01">
      <w:pPr>
        <w:pStyle w:val="2"/>
        <w:shd w:val="clear" w:color="auto" w:fill="auto"/>
        <w:ind w:left="20" w:right="20" w:firstLine="680"/>
        <w:jc w:val="both"/>
      </w:pPr>
      <w:r>
        <w:t xml:space="preserve">В связи с Вашим обращением по поводу возможности отмены на территории Российской Федерации доверенности, удостоверенной нотариусом </w:t>
      </w:r>
      <w:r>
        <w:t>Киевского городского нотариального округа, сообщаю.</w:t>
      </w:r>
    </w:p>
    <w:p w:rsidR="00BD61E4" w:rsidRDefault="00502B01">
      <w:pPr>
        <w:pStyle w:val="2"/>
        <w:shd w:val="clear" w:color="auto" w:fill="auto"/>
        <w:ind w:left="20" w:right="20" w:firstLine="680"/>
        <w:jc w:val="both"/>
      </w:pPr>
      <w:r>
        <w:t>Право, подлежащее применению к гражданско-правовым отношениям с участием иностранных граждан или иностранных юридических лиц либо гражданско-правовым отношениям, осложненным иным иностранным элементом, оп</w:t>
      </w:r>
      <w:r>
        <w:t>ределяется на основании международных договоров Российской Федерации, Гражданского кодекса Российской Федерации, других законов и обычаев, признаваемых в Российской Федерации (пункт 1 статьи 1186 Гражданского кодекса Российской Федерации).</w:t>
      </w:r>
    </w:p>
    <w:p w:rsidR="00BD61E4" w:rsidRDefault="00502B01">
      <w:pPr>
        <w:pStyle w:val="2"/>
        <w:shd w:val="clear" w:color="auto" w:fill="auto"/>
        <w:ind w:left="20" w:right="20" w:firstLine="520"/>
        <w:jc w:val="both"/>
      </w:pPr>
      <w:r>
        <w:t>В рассматриваемо</w:t>
      </w:r>
      <w:r>
        <w:t>м случае осуществляемые через представителя правовые отношения осложняются иностранным элементом, поскольку полномочия представителя оформлены за границей Российской Федерации в соответствии с правом иностранного государства.</w:t>
      </w:r>
    </w:p>
    <w:p w:rsidR="00BD61E4" w:rsidRDefault="00502B01">
      <w:pPr>
        <w:pStyle w:val="2"/>
        <w:shd w:val="clear" w:color="auto" w:fill="auto"/>
        <w:ind w:left="20" w:right="20" w:firstLine="520"/>
        <w:jc w:val="both"/>
      </w:pPr>
      <w:r>
        <w:t>Согласно статье 40 Конвенции о</w:t>
      </w:r>
      <w:r>
        <w:t xml:space="preserve"> правовой помощи и правовых отношениях по гражданским, семейным и уголовным делам (заключена в Минске 22 января 1993 г., вступила в силу для Российской Федерации 10.12.1994, для Украины 14.04.1995) форма </w:t>
      </w:r>
      <w:r>
        <w:rPr>
          <w:rStyle w:val="1"/>
        </w:rPr>
        <w:t>срок действия д</w:t>
      </w:r>
      <w:r>
        <w:t>оверенности определяются по законодат</w:t>
      </w:r>
      <w:r>
        <w:t>ельству . ^Договаривающейся— Стороны, на территории которой выдана доверенность. Положений об определении права, подлежащего применению к прекращению доверенности, названная Конвенция не содержит. В связи с отсутствием в международном договоре соответствую</w:t>
      </w:r>
      <w:r>
        <w:t>щего порядка, применяемого к прекращению доверенности, необходимо руководствоваться коллизионными привязками, содержащимися в части третьей Гражданского кодекса Российской Федерации.</w:t>
      </w:r>
    </w:p>
    <w:p w:rsidR="00BD61E4" w:rsidRDefault="00502B01">
      <w:pPr>
        <w:pStyle w:val="2"/>
        <w:shd w:val="clear" w:color="auto" w:fill="auto"/>
        <w:ind w:left="20" w:right="20" w:firstLine="520"/>
        <w:jc w:val="both"/>
      </w:pPr>
      <w:r>
        <w:t xml:space="preserve">Гражданский кодекс Российской Федерации (пункт 2 статьи 1217.1) содержит </w:t>
      </w:r>
      <w:r>
        <w:t>следующие положения о праве, подлежащем применению к отношениям представительства. Отношения представительства определяются по праву страны, которое выбрано представляемым в доверенности, при условии, что третье лицо и представитель были извещены об этом в</w:t>
      </w:r>
      <w:r>
        <w:t>ыборе. Если же применимое право в доверенности не выбрано, либо</w:t>
      </w:r>
      <w:r>
        <w:br w:type="page"/>
      </w:r>
      <w:r>
        <w:lastRenderedPageBreak/>
        <w:t xml:space="preserve">выбранное право в соответствии с законом не подлежит применению, отношения между представляемым или представителем и третьим лицом определяются по праву страны, где находится место жительства </w:t>
      </w:r>
      <w:r>
        <w:t>или основное место деятельности представителя. Если третье лицо не знало и не должно было знать о месте жительства или об основном месте деятельности представителя, применяется право страны, где преимущественно действовал представитель в конкретном случае.</w:t>
      </w:r>
    </w:p>
    <w:p w:rsidR="00BD61E4" w:rsidRDefault="00502B01">
      <w:pPr>
        <w:pStyle w:val="2"/>
        <w:shd w:val="clear" w:color="auto" w:fill="auto"/>
        <w:ind w:left="20" w:right="40" w:firstLine="520"/>
        <w:jc w:val="both"/>
      </w:pPr>
      <w:r>
        <w:t>Следует отметить, что прекращение доверенности относится к вопросам, которые определяются правом, подлежащим применению к отношениям между представляемым или представителем и третьим лицом (подпункт 5 пункта 5 статьи 1217.1 Гражданского кодекса Российской</w:t>
      </w:r>
      <w:r>
        <w:t xml:space="preserve"> Федерации).</w:t>
      </w:r>
    </w:p>
    <w:p w:rsidR="00BD61E4" w:rsidRDefault="00502B01">
      <w:pPr>
        <w:pStyle w:val="2"/>
        <w:shd w:val="clear" w:color="auto" w:fill="auto"/>
        <w:ind w:left="20" w:right="40" w:firstLine="520"/>
        <w:jc w:val="both"/>
      </w:pPr>
      <w:r>
        <w:t>Поскольку в рассматриваемом случае не ясно, на территории какого государства - Украины или России, представителю предоставлено право осуществлять юридически значимые действия по доверенности, удостоверенной нотариусом Украины, при решении вопр</w:t>
      </w:r>
      <w:r>
        <w:t>оса о праве, подлежащем применению к отмене доверенности, необходимо иметь в виду следующее. Если представитель будет осуществлять юридически значимые действия по доверенности на территории Украины, то правом, подлежащим применению к прекращению довереннос</w:t>
      </w:r>
      <w:r>
        <w:t>ти, является прав</w:t>
      </w:r>
      <w:r>
        <w:rPr>
          <w:rStyle w:val="1"/>
        </w:rPr>
        <w:t>о Украи</w:t>
      </w:r>
      <w:r>
        <w:t>ны. Если же указанные действия по доверенности осуществляются на территории Российской Федерации, соответственно к прекращению доверенности применяется российское право.</w:t>
      </w:r>
    </w:p>
    <w:p w:rsidR="00BD61E4" w:rsidRDefault="00502B01">
      <w:pPr>
        <w:pStyle w:val="2"/>
        <w:shd w:val="clear" w:color="auto" w:fill="auto"/>
        <w:ind w:left="20" w:right="40" w:firstLine="520"/>
        <w:jc w:val="both"/>
      </w:pPr>
      <w:r>
        <w:t>Порядок прекращения доверенности определен Гражданским кодексо</w:t>
      </w:r>
      <w:r>
        <w:t>м Российской Федерации: лицо, выдавшее доверенность вправе ее отменить в той же форме, в которой совершена доверенность (статьи 188,189,156,452 ГК РФ). Гражданский кодекс Российской Федерации (статья 189), устанавливая правовые последствия прекращения дове</w:t>
      </w:r>
      <w:r>
        <w:t>ренности, возлагает на лицо, выдавшее доверенность и впоследствии отменившее ее, обязанность известить об отмене лицо, которому доверенность выдана, а также известных ему третьих лиц, для представительства перед которыми дана доверенность.</w:t>
      </w:r>
    </w:p>
    <w:p w:rsidR="00BD61E4" w:rsidRDefault="00502B01">
      <w:pPr>
        <w:pStyle w:val="2"/>
        <w:shd w:val="clear" w:color="auto" w:fill="auto"/>
        <w:ind w:left="20" w:right="40" w:firstLine="520"/>
        <w:jc w:val="both"/>
      </w:pPr>
      <w:r>
        <w:t>Об отмене довере</w:t>
      </w:r>
      <w:r>
        <w:t>нности может быть сделана публикация в официальном издании, в котором опубликовываются сведения о банкротстве. В этом случае подпись на заявлении об отмене доверенности должна быть нотариально засвидетельствована. Третьи лица считаются извещенными об отмен</w:t>
      </w:r>
      <w:r>
        <w:t>е доверенности по истечении месяца со дня указанной публикации, если они не были извещены об отмене доверенности ранее.</w:t>
      </w:r>
    </w:p>
    <w:p w:rsidR="00BD61E4" w:rsidRDefault="00502B01">
      <w:pPr>
        <w:framePr w:h="1613" w:wrap="around" w:vAnchor="text" w:hAnchor="margin" w:x="3807" w:y="118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"C:\\Users\\enot\\AppData\\Local\\Temp\\FineReader11.00\\media\\image1.jpeg"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85pt;height:80.85pt">
            <v:imagedata r:id="rId7" r:href="rId8"/>
          </v:shape>
        </w:pict>
      </w:r>
      <w:r>
        <w:fldChar w:fldCharType="end"/>
      </w:r>
    </w:p>
    <w:p w:rsidR="00BD61E4" w:rsidRDefault="00502B01">
      <w:pPr>
        <w:pStyle w:val="2"/>
        <w:shd w:val="clear" w:color="auto" w:fill="auto"/>
        <w:ind w:left="20" w:right="40" w:firstLine="520"/>
        <w:jc w:val="both"/>
      </w:pPr>
      <w:r>
        <w:t>Если третьему лицу</w:t>
      </w:r>
      <w:r>
        <w:t xml:space="preserve"> предъявлена доверенность, о прекращении которой оно не знало и не должно было знать, права и обязанности, приобретенные в результате действий лица, полномочия которого прекращены, сохраняют силу для представляемого и его правопреемников .(пункт 2 статьи 1</w:t>
      </w:r>
      <w:r>
        <w:t>89 ГК</w:t>
      </w:r>
    </w:p>
    <w:p w:rsidR="00BD61E4" w:rsidRDefault="00502B01">
      <w:pPr>
        <w:pStyle w:val="30"/>
        <w:shd w:val="clear" w:color="auto" w:fill="auto"/>
        <w:spacing w:line="280" w:lineRule="exact"/>
        <w:ind w:left="20"/>
      </w:pPr>
      <w:r>
        <w:rPr>
          <w:vertAlign w:val="superscript"/>
        </w:rPr>
        <w:t>Рф)</w:t>
      </w:r>
      <w:r>
        <w:t>- / / ,</w:t>
      </w:r>
    </w:p>
    <w:p w:rsidR="00BD61E4" w:rsidRDefault="00502B01">
      <w:pPr>
        <w:pStyle w:val="2"/>
        <w:shd w:val="clear" w:color="auto" w:fill="auto"/>
        <w:tabs>
          <w:tab w:val="center" w:pos="4695"/>
          <w:tab w:val="right" w:pos="5314"/>
          <w:tab w:val="right" w:pos="5722"/>
        </w:tabs>
        <w:spacing w:after="265" w:line="240" w:lineRule="exact"/>
        <w:ind w:left="20"/>
        <w:jc w:val="both"/>
      </w:pPr>
      <w:r>
        <w:t>С уважением,</w:t>
      </w:r>
      <w:r>
        <w:tab/>
        <w:t xml:space="preserve"> </w:t>
      </w:r>
      <w:r>
        <w:rPr>
          <w:rStyle w:val="-1pt"/>
        </w:rPr>
        <w:t>у</w:t>
      </w:r>
      <w:r>
        <w:rPr>
          <w:rStyle w:val="-1pt"/>
        </w:rPr>
        <w:tab/>
        <w:t>/у</w:t>
      </w:r>
      <w:r>
        <w:rPr>
          <w:rStyle w:val="-1pt"/>
        </w:rPr>
        <w:tab/>
        <w:t>.7</w:t>
      </w:r>
    </w:p>
    <w:p w:rsidR="00BD61E4" w:rsidRDefault="00502B01">
      <w:pPr>
        <w:pStyle w:val="2"/>
        <w:shd w:val="clear" w:color="auto" w:fill="auto"/>
        <w:tabs>
          <w:tab w:val="center" w:pos="5094"/>
          <w:tab w:val="right" w:pos="6092"/>
          <w:tab w:val="right" w:pos="7695"/>
          <w:tab w:val="right" w:pos="7964"/>
          <w:tab w:val="right" w:pos="8871"/>
        </w:tabs>
        <w:spacing w:line="320" w:lineRule="exact"/>
        <w:ind w:left="20"/>
        <w:jc w:val="both"/>
      </w:pPr>
      <w:r>
        <w:t>Президент Палаты</w:t>
      </w:r>
      <w:r>
        <w:tab/>
        <w:t xml:space="preserve"> </w:t>
      </w:r>
      <w:r>
        <w:rPr>
          <w:rStyle w:val="16pt-2pt"/>
        </w:rPr>
        <w:t>l</w:t>
      </w:r>
      <w:r w:rsidRPr="00502B01">
        <w:rPr>
          <w:rStyle w:val="16pt-2pt"/>
          <w:lang w:val="ru-RU"/>
        </w:rPr>
        <w:t>&gt;</w:t>
      </w:r>
      <w:r>
        <w:rPr>
          <w:rStyle w:val="16pt-2pt"/>
        </w:rPr>
        <w:t>lt</w:t>
      </w:r>
      <w:r w:rsidRPr="00502B01">
        <w:rPr>
          <w:rStyle w:val="16pt-2pt"/>
          <w:lang w:val="ru-RU"/>
        </w:rPr>
        <w:t>)</w:t>
      </w:r>
      <w:r w:rsidRPr="00502B01">
        <w:rPr>
          <w:rStyle w:val="16pt-2pt"/>
          <w:lang w:val="ru-RU"/>
        </w:rPr>
        <w:tab/>
      </w:r>
      <w:r>
        <w:rPr>
          <w:rStyle w:val="16pt-2pt"/>
          <w:lang w:val="ru-RU" w:eastAsia="ru-RU" w:bidi="ru-RU"/>
        </w:rPr>
        <w:t>//</w:t>
      </w:r>
      <w:r>
        <w:rPr>
          <w:rStyle w:val="16pt"/>
        </w:rPr>
        <w:tab/>
      </w:r>
      <w:r>
        <w:t>К.</w:t>
      </w:r>
      <w:r>
        <w:tab/>
        <w:t>А.</w:t>
      </w:r>
      <w:r>
        <w:tab/>
        <w:t>Корсик</w:t>
      </w:r>
    </w:p>
    <w:sectPr w:rsidR="00BD61E4">
      <w:type w:val="continuous"/>
      <w:pgSz w:w="11909" w:h="16838"/>
      <w:pgMar w:top="1470" w:right="1427" w:bottom="1508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01" w:rsidRDefault="00502B01">
      <w:r>
        <w:separator/>
      </w:r>
    </w:p>
  </w:endnote>
  <w:endnote w:type="continuationSeparator" w:id="0">
    <w:p w:rsidR="00502B01" w:rsidRDefault="0050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01" w:rsidRDefault="00502B01"/>
  </w:footnote>
  <w:footnote w:type="continuationSeparator" w:id="0">
    <w:p w:rsidR="00502B01" w:rsidRDefault="00502B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D61E4"/>
    <w:rsid w:val="00502B01"/>
    <w:rsid w:val="00B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pt-2pt">
    <w:name w:val="Основной текст + 16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pt-2pt">
    <w:name w:val="Основной текст + 16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not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</dc:creator>
  <cp:lastModifiedBy>Енот</cp:lastModifiedBy>
  <cp:revision>1</cp:revision>
  <dcterms:created xsi:type="dcterms:W3CDTF">2015-01-26T05:41:00Z</dcterms:created>
  <dcterms:modified xsi:type="dcterms:W3CDTF">2015-01-26T05:42:00Z</dcterms:modified>
</cp:coreProperties>
</file>